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38F8" w14:textId="5CD05E7D" w:rsidR="00C43002" w:rsidRDefault="009F6B7D" w:rsidP="00C43002">
      <w:pPr>
        <w:snapToGrid w:val="0"/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歐盟</w:t>
      </w:r>
      <w:r w:rsidRPr="009F6B7D">
        <w:rPr>
          <w:rFonts w:ascii="微軟正黑體" w:eastAsia="微軟正黑體" w:hAnsi="微軟正黑體" w:cs="Times New Roman" w:hint="eastAsia"/>
          <w:b/>
          <w:sz w:val="32"/>
          <w:szCs w:val="32"/>
        </w:rPr>
        <w:t>CBAM過渡期申報義務執行規章(草案)</w:t>
      </w:r>
      <w:r w:rsidR="00C43002" w:rsidRPr="00A668CE">
        <w:rPr>
          <w:rFonts w:ascii="微軟正黑體" w:eastAsia="微軟正黑體" w:hAnsi="微軟正黑體" w:cs="Times New Roman" w:hint="eastAsia"/>
          <w:b/>
          <w:sz w:val="32"/>
          <w:szCs w:val="32"/>
        </w:rPr>
        <w:t>相關問題</w:t>
      </w:r>
      <w:r w:rsidR="005B2987">
        <w:rPr>
          <w:rFonts w:ascii="微軟正黑體" w:eastAsia="微軟正黑體" w:hAnsi="微軟正黑體" w:cs="Times New Roman" w:hint="eastAsia"/>
          <w:b/>
          <w:sz w:val="32"/>
          <w:szCs w:val="32"/>
        </w:rPr>
        <w:t>/建議表</w:t>
      </w:r>
    </w:p>
    <w:p w14:paraId="40C5D16E" w14:textId="000031A5" w:rsidR="00837C8C" w:rsidRDefault="00837C8C" w:rsidP="00C43002">
      <w:pPr>
        <w:snapToGrid w:val="0"/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14:paraId="227D41C3" w14:textId="0D8330B6" w:rsidR="00837C8C" w:rsidRPr="002C795A" w:rsidRDefault="00CC05B3" w:rsidP="002C795A">
      <w:pPr>
        <w:adjustRightInd w:val="0"/>
        <w:snapToGrid w:val="0"/>
        <w:spacing w:line="40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企</w:t>
      </w:r>
      <w:r w:rsidR="00837C8C" w:rsidRPr="002C795A">
        <w:rPr>
          <w:rFonts w:ascii="微軟正黑體" w:eastAsia="微軟正黑體" w:hAnsi="微軟正黑體" w:cs="Times New Roman" w:hint="eastAsia"/>
          <w:b/>
          <w:szCs w:val="24"/>
        </w:rPr>
        <w:t>業先進</w:t>
      </w:r>
      <w:r>
        <w:rPr>
          <w:rFonts w:ascii="微軟正黑體" w:eastAsia="微軟正黑體" w:hAnsi="微軟正黑體" w:cs="Times New Roman" w:hint="eastAsia"/>
          <w:b/>
          <w:szCs w:val="24"/>
        </w:rPr>
        <w:t>，您好</w:t>
      </w:r>
      <w:r w:rsidR="002C795A" w:rsidRPr="002C795A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14:paraId="46C19518" w14:textId="686BFE0C" w:rsidR="00A775A9" w:rsidRDefault="002C795A" w:rsidP="00A775A9">
      <w:pPr>
        <w:widowControl/>
        <w:adjustRightInd w:val="0"/>
        <w:snapToGrid w:val="0"/>
        <w:spacing w:line="400" w:lineRule="exact"/>
        <w:ind w:firstLineChars="200" w:firstLine="480"/>
        <w:jc w:val="both"/>
        <w:rPr>
          <w:rFonts w:ascii="微軟正黑體" w:eastAsia="微軟正黑體" w:hAnsi="微軟正黑體" w:cs="新細明體"/>
          <w:color w:val="202124"/>
          <w:kern w:val="0"/>
          <w:szCs w:val="24"/>
          <w:shd w:val="clear" w:color="auto" w:fill="FFFFFF"/>
        </w:rPr>
      </w:pPr>
      <w:r w:rsidRPr="002C795A">
        <w:rPr>
          <w:rFonts w:ascii="微軟正黑體" w:eastAsia="微軟正黑體" w:hAnsi="微軟正黑體" w:cs="新細明體"/>
          <w:color w:val="202124"/>
          <w:kern w:val="0"/>
          <w:szCs w:val="24"/>
          <w:shd w:val="clear" w:color="auto" w:fill="FFFFFF"/>
        </w:rPr>
        <w:t>歐盟為防止產業碳洩漏並促使全球產業朝低碳製造轉型，於2021年7月通過碳邊境調整機制（CBAM）草案，</w:t>
      </w:r>
      <w:r w:rsidR="0059414F" w:rsidRPr="002C795A">
        <w:rPr>
          <w:rFonts w:ascii="微軟正黑體" w:eastAsia="微軟正黑體" w:hAnsi="微軟正黑體" w:cs="新細明體"/>
          <w:color w:val="202124"/>
          <w:kern w:val="0"/>
          <w:szCs w:val="24"/>
          <w:shd w:val="clear" w:color="auto" w:fill="FFFFFF"/>
        </w:rPr>
        <w:t>未來企業出口到歐盟市場皆必須購買CBAM憑證</w:t>
      </w:r>
      <w:r w:rsidR="0059414F">
        <w:rPr>
          <w:rFonts w:ascii="微軟正黑體" w:eastAsia="微軟正黑體" w:hAnsi="微軟正黑體" w:cs="新細明體" w:hint="eastAsia"/>
          <w:color w:val="202124"/>
          <w:kern w:val="0"/>
          <w:szCs w:val="24"/>
          <w:shd w:val="clear" w:color="auto" w:fill="FFFFFF"/>
        </w:rPr>
        <w:t>。</w:t>
      </w:r>
      <w:r w:rsidR="00A775A9" w:rsidRPr="00A775A9">
        <w:rPr>
          <w:rFonts w:ascii="微軟正黑體" w:eastAsia="微軟正黑體" w:hAnsi="微軟正黑體" w:cs="新細明體" w:hint="eastAsia"/>
          <w:color w:val="202124"/>
          <w:kern w:val="0"/>
          <w:szCs w:val="24"/>
          <w:shd w:val="clear" w:color="auto" w:fill="FFFFFF"/>
        </w:rPr>
        <w:t>歐盟CBAM過渡期2023年10月1日起生效，自2026年起實際課徵CBAM憑證</w:t>
      </w:r>
      <w:r w:rsidR="00A775A9">
        <w:rPr>
          <w:rFonts w:ascii="微軟正黑體" w:eastAsia="微軟正黑體" w:hAnsi="微軟正黑體" w:cs="新細明體" w:hint="eastAsia"/>
          <w:color w:val="202124"/>
          <w:kern w:val="0"/>
          <w:szCs w:val="24"/>
          <w:shd w:val="clear" w:color="auto" w:fill="FFFFFF"/>
        </w:rPr>
        <w:t>。</w:t>
      </w:r>
    </w:p>
    <w:p w14:paraId="1BA6AA36" w14:textId="7DF10EF1" w:rsidR="002C795A" w:rsidRPr="002C795A" w:rsidRDefault="00A775A9" w:rsidP="0059414F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both"/>
        <w:rPr>
          <w:rFonts w:ascii="微軟正黑體" w:eastAsia="微軟正黑體" w:hAnsi="微軟正黑體" w:cs="新細明體"/>
          <w:color w:val="2021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今(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2023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)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年6月13日歐盟執委會發布CBAM過渡期申報義務執行規章(草案)內容(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規章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詳細內容可前往</w:t>
      </w:r>
      <w:bookmarkStart w:id="0" w:name="_Hlk138065090"/>
      <w:r w:rsidR="00CC05B3" w:rsidRPr="0059414F">
        <w:rPr>
          <w:rFonts w:ascii="微軟正黑體" w:eastAsia="微軟正黑體" w:hAnsi="微軟正黑體" w:cs="新細明體"/>
          <w:color w:val="202124"/>
          <w:kern w:val="0"/>
          <w:szCs w:val="24"/>
          <w:u w:val="single"/>
        </w:rPr>
        <w:t>https://reurl.cc/XEmRgM</w:t>
      </w:r>
      <w:bookmarkEnd w:id="0"/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下載)，為維持國內業者輸歐的競爭力，擬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邀請</w:t>
      </w:r>
      <w:r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國內鋼鐵、鋁相關上下游業者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，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針對CBAM過渡期申報義務執行規章欲釐清/建議協商內容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進行調查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，</w:t>
      </w:r>
      <w:bookmarkStart w:id="1" w:name="_Hlk138065221"/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盡可能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與歐盟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爭取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CBAM</w:t>
      </w:r>
      <w:r w:rsidR="002C795A"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執行規章(草案)調整之可能性。</w:t>
      </w:r>
      <w:bookmarkEnd w:id="1"/>
    </w:p>
    <w:p w14:paraId="481A1636" w14:textId="749D4CDD" w:rsidR="00CC05B3" w:rsidRDefault="00CC05B3" w:rsidP="0059414F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szCs w:val="24"/>
        </w:rPr>
      </w:pPr>
      <w:r w:rsidRPr="00CC05B3">
        <w:rPr>
          <w:rFonts w:ascii="微軟正黑體" w:eastAsia="微軟正黑體" w:hAnsi="微軟正黑體" w:cs="Times New Roman" w:hint="eastAsia"/>
          <w:bCs/>
          <w:szCs w:val="24"/>
        </w:rPr>
        <w:t>以上，感謝先進撥冗填覆本調查表單，</w:t>
      </w:r>
      <w:r w:rsidR="00A775A9">
        <w:rPr>
          <w:rFonts w:ascii="微軟正黑體" w:eastAsia="微軟正黑體" w:hAnsi="微軟正黑體" w:cs="Times New Roman" w:hint="eastAsia"/>
          <w:bCs/>
          <w:szCs w:val="24"/>
        </w:rPr>
        <w:t>並相關建議敬</w:t>
      </w:r>
      <w:bookmarkStart w:id="2" w:name="_Hlk138065198"/>
      <w:r w:rsidR="00A775A9" w:rsidRPr="008D1CA2">
        <w:rPr>
          <w:rFonts w:ascii="微軟正黑體" w:eastAsia="微軟正黑體" w:hAnsi="微軟正黑體" w:cs="Times New Roman"/>
          <w:bCs/>
          <w:szCs w:val="24"/>
        </w:rPr>
        <w:fldChar w:fldCharType="begin"/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instrText xml:space="preserve"> </w:instrText>
      </w:r>
      <w:r w:rsidR="00A775A9" w:rsidRPr="008D1CA2">
        <w:rPr>
          <w:rFonts w:ascii="微軟正黑體" w:eastAsia="微軟正黑體" w:hAnsi="微軟正黑體" w:cs="Times New Roman" w:hint="eastAsia"/>
          <w:bCs/>
          <w:szCs w:val="24"/>
        </w:rPr>
        <w:instrText>HYPERLINK "mailto:請於6/26</w:instrText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instrText>前</w:instrText>
      </w:r>
      <w:r w:rsidR="00A775A9" w:rsidRPr="008D1CA2">
        <w:rPr>
          <w:rFonts w:ascii="微軟正黑體" w:eastAsia="微軟正黑體" w:hAnsi="微軟正黑體" w:cs="Times New Roman" w:hint="eastAsia"/>
          <w:bCs/>
          <w:szCs w:val="24"/>
        </w:rPr>
        <w:instrText>回傳本檔案至y</w:instrText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instrText>tlin7@moeaidb.gov.tw</w:instrText>
      </w:r>
      <w:r w:rsidR="00A775A9" w:rsidRPr="008D1CA2">
        <w:rPr>
          <w:rFonts w:ascii="微軟正黑體" w:eastAsia="微軟正黑體" w:hAnsi="微軟正黑體" w:cs="Times New Roman" w:hint="eastAsia"/>
          <w:bCs/>
          <w:szCs w:val="24"/>
        </w:rPr>
        <w:instrText>"</w:instrText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instrText xml:space="preserve"> </w:instrText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fldChar w:fldCharType="separate"/>
      </w:r>
      <w:r w:rsidR="00A775A9" w:rsidRPr="008D1CA2">
        <w:rPr>
          <w:rStyle w:val="ab"/>
          <w:rFonts w:ascii="微軟正黑體" w:eastAsia="微軟正黑體" w:hAnsi="微軟正黑體" w:cs="Times New Roman" w:hint="eastAsia"/>
          <w:bCs/>
          <w:color w:val="auto"/>
          <w:szCs w:val="24"/>
          <w:u w:val="none"/>
        </w:rPr>
        <w:t>請於6/26</w:t>
      </w:r>
      <w:r w:rsidR="00A775A9" w:rsidRPr="008D1CA2">
        <w:rPr>
          <w:rStyle w:val="ab"/>
          <w:rFonts w:ascii="微軟正黑體" w:eastAsia="微軟正黑體" w:hAnsi="微軟正黑體" w:cs="Times New Roman"/>
          <w:bCs/>
          <w:color w:val="auto"/>
          <w:szCs w:val="24"/>
          <w:u w:val="none"/>
        </w:rPr>
        <w:t>前</w:t>
      </w:r>
      <w:r w:rsidR="00A775A9" w:rsidRPr="008D1CA2">
        <w:rPr>
          <w:rStyle w:val="ab"/>
          <w:rFonts w:ascii="微軟正黑體" w:eastAsia="微軟正黑體" w:hAnsi="微軟正黑體" w:cs="Times New Roman" w:hint="eastAsia"/>
          <w:bCs/>
          <w:color w:val="auto"/>
          <w:szCs w:val="24"/>
          <w:u w:val="none"/>
        </w:rPr>
        <w:t>回傳本檔案至y</w:t>
      </w:r>
      <w:r w:rsidR="00A775A9" w:rsidRPr="008D1CA2">
        <w:rPr>
          <w:rStyle w:val="ab"/>
          <w:rFonts w:ascii="微軟正黑體" w:eastAsia="微軟正黑體" w:hAnsi="微軟正黑體" w:cs="Times New Roman"/>
          <w:bCs/>
          <w:color w:val="auto"/>
          <w:szCs w:val="24"/>
          <w:u w:val="none"/>
        </w:rPr>
        <w:t>tlin7@moeaidb.gov.tw</w:t>
      </w:r>
      <w:r w:rsidR="00A775A9" w:rsidRPr="008D1CA2">
        <w:rPr>
          <w:rFonts w:ascii="微軟正黑體" w:eastAsia="微軟正黑體" w:hAnsi="微軟正黑體" w:cs="Times New Roman"/>
          <w:bCs/>
          <w:szCs w:val="24"/>
        </w:rPr>
        <w:fldChar w:fldCharType="end"/>
      </w:r>
      <w:r>
        <w:rPr>
          <w:rFonts w:ascii="微軟正黑體" w:eastAsia="微軟正黑體" w:hAnsi="微軟正黑體" w:cs="Times New Roman" w:hint="eastAsia"/>
          <w:bCs/>
          <w:szCs w:val="24"/>
        </w:rPr>
        <w:t>，</w:t>
      </w:r>
      <w:bookmarkEnd w:id="2"/>
    </w:p>
    <w:p w14:paraId="4F28316A" w14:textId="1B2A7D6A" w:rsidR="002C795A" w:rsidRPr="00CC05B3" w:rsidRDefault="00CC05B3" w:rsidP="0059414F">
      <w:pPr>
        <w:adjustRightInd w:val="0"/>
        <w:snapToGrid w:val="0"/>
        <w:spacing w:line="400" w:lineRule="exact"/>
        <w:jc w:val="both"/>
        <w:rPr>
          <w:rFonts w:ascii="微軟正黑體" w:eastAsia="微軟正黑體" w:hAnsi="微軟正黑體" w:cs="Times New Roman"/>
          <w:bCs/>
          <w:szCs w:val="24"/>
        </w:rPr>
      </w:pPr>
      <w:r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倘若填寫上有任何問題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，</w:t>
      </w:r>
      <w:r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可洽</w:t>
      </w:r>
      <w:r>
        <w:rPr>
          <w:rFonts w:ascii="微軟正黑體" w:eastAsia="微軟正黑體" w:hAnsi="微軟正黑體" w:cs="新細明體" w:hint="eastAsia"/>
          <w:color w:val="202124"/>
          <w:kern w:val="0"/>
          <w:szCs w:val="24"/>
        </w:rPr>
        <w:t>02-27541255#2115林小姐聯繫</w:t>
      </w:r>
      <w:r w:rsidRPr="002C795A">
        <w:rPr>
          <w:rFonts w:ascii="微軟正黑體" w:eastAsia="微軟正黑體" w:hAnsi="微軟正黑體" w:cs="新細明體"/>
          <w:color w:val="202124"/>
          <w:kern w:val="0"/>
          <w:szCs w:val="24"/>
        </w:rPr>
        <w:t>詢問</w:t>
      </w:r>
      <w:r w:rsidRPr="00CC05B3">
        <w:rPr>
          <w:rFonts w:ascii="微軟正黑體" w:eastAsia="微軟正黑體" w:hAnsi="微軟正黑體" w:cs="Times New Roman" w:hint="eastAsia"/>
          <w:bCs/>
          <w:szCs w:val="24"/>
        </w:rPr>
        <w:t>。</w:t>
      </w:r>
    </w:p>
    <w:p w14:paraId="54A9472C" w14:textId="506F4FFB" w:rsidR="000F6666" w:rsidRPr="002C795A" w:rsidRDefault="00D53DE0" w:rsidP="002C795A">
      <w:pPr>
        <w:adjustRightInd w:val="0"/>
        <w:snapToGrid w:val="0"/>
        <w:spacing w:line="400" w:lineRule="exact"/>
        <w:jc w:val="righ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金屬中心</w:t>
      </w:r>
      <w:r w:rsidR="002C795A" w:rsidRPr="002C795A">
        <w:rPr>
          <w:rFonts w:ascii="微軟正黑體" w:eastAsia="微軟正黑體" w:hAnsi="微軟正黑體" w:cs="Times New Roman" w:hint="eastAsia"/>
          <w:b/>
          <w:szCs w:val="24"/>
        </w:rPr>
        <w:t xml:space="preserve"> 敬上</w:t>
      </w:r>
    </w:p>
    <w:p w14:paraId="4D07E871" w14:textId="40547DF2" w:rsidR="009F6B7D" w:rsidRPr="00352275" w:rsidRDefault="002C795A" w:rsidP="000F6666">
      <w:pPr>
        <w:snapToGrid w:val="0"/>
        <w:spacing w:line="460" w:lineRule="exact"/>
        <w:rPr>
          <w:rFonts w:ascii="微軟正黑體" w:eastAsia="微軟正黑體" w:hAnsi="微軟正黑體" w:cs="Times New Roman"/>
          <w:szCs w:val="24"/>
        </w:rPr>
      </w:pPr>
      <w:r w:rsidRPr="00352275">
        <w:rPr>
          <w:rFonts w:ascii="微軟正黑體" w:eastAsia="微軟正黑體" w:hAnsi="微軟正黑體" w:cs="Times New Roman" w:hint="eastAsia"/>
          <w:szCs w:val="24"/>
        </w:rPr>
        <w:t>【</w:t>
      </w:r>
      <w:r w:rsidR="000F6666" w:rsidRPr="00352275">
        <w:rPr>
          <w:rFonts w:ascii="微軟正黑體" w:eastAsia="微軟正黑體" w:hAnsi="微軟正黑體" w:cs="Times New Roman" w:hint="eastAsia"/>
          <w:szCs w:val="24"/>
        </w:rPr>
        <w:t>填寫範例</w:t>
      </w:r>
      <w:r w:rsidRPr="00352275">
        <w:rPr>
          <w:rFonts w:ascii="微軟正黑體" w:eastAsia="微軟正黑體" w:hAnsi="微軟正黑體" w:cs="Times New Roman" w:hint="eastAsia"/>
          <w:szCs w:val="24"/>
        </w:rPr>
        <w:t>】</w:t>
      </w:r>
    </w:p>
    <w:tbl>
      <w:tblPr>
        <w:tblStyle w:val="a8"/>
        <w:tblW w:w="15826" w:type="dxa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2602"/>
        <w:gridCol w:w="4485"/>
        <w:gridCol w:w="4253"/>
        <w:gridCol w:w="2693"/>
      </w:tblGrid>
      <w:tr w:rsidR="001B43A5" w:rsidRPr="00352275" w14:paraId="7890BF15" w14:textId="65981ADF" w:rsidTr="00352275">
        <w:trPr>
          <w:tblHeader/>
        </w:trPr>
        <w:tc>
          <w:tcPr>
            <w:tcW w:w="1793" w:type="dxa"/>
            <w:shd w:val="clear" w:color="auto" w:fill="EEECE1" w:themeFill="background2"/>
          </w:tcPr>
          <w:p w14:paraId="402024AD" w14:textId="6BA818A9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4"/>
              </w:rPr>
              <w:t>條次</w:t>
            </w:r>
          </w:p>
        </w:tc>
        <w:tc>
          <w:tcPr>
            <w:tcW w:w="2602" w:type="dxa"/>
            <w:shd w:val="clear" w:color="auto" w:fill="EEECE1" w:themeFill="background2"/>
          </w:tcPr>
          <w:p w14:paraId="2C2BC8DB" w14:textId="0A5BBC8B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4"/>
              </w:rPr>
              <w:t>待釐清問題</w:t>
            </w:r>
          </w:p>
        </w:tc>
        <w:tc>
          <w:tcPr>
            <w:tcW w:w="4485" w:type="dxa"/>
            <w:shd w:val="clear" w:color="auto" w:fill="EEECE1" w:themeFill="background2"/>
          </w:tcPr>
          <w:p w14:paraId="26C54264" w14:textId="49D3A340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4"/>
              </w:rPr>
              <w:t>問題說明</w:t>
            </w:r>
          </w:p>
        </w:tc>
        <w:tc>
          <w:tcPr>
            <w:tcW w:w="4253" w:type="dxa"/>
            <w:shd w:val="clear" w:color="auto" w:fill="EEECE1" w:themeFill="background2"/>
          </w:tcPr>
          <w:p w14:paraId="67D85597" w14:textId="572AA23E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4"/>
              </w:rPr>
              <w:t>協商訴求</w:t>
            </w:r>
          </w:p>
        </w:tc>
        <w:tc>
          <w:tcPr>
            <w:tcW w:w="2693" w:type="dxa"/>
            <w:shd w:val="clear" w:color="auto" w:fill="EEECE1" w:themeFill="background2"/>
          </w:tcPr>
          <w:p w14:paraId="174BDC05" w14:textId="686ED780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4"/>
              </w:rPr>
              <w:t>產品類別(4碼)</w:t>
            </w:r>
          </w:p>
        </w:tc>
      </w:tr>
      <w:tr w:rsidR="001B43A5" w:rsidRPr="00352275" w14:paraId="4B6E1E26" w14:textId="430B826E" w:rsidTr="00352275">
        <w:tc>
          <w:tcPr>
            <w:tcW w:w="1793" w:type="dxa"/>
            <w:vMerge w:val="restart"/>
            <w:vAlign w:val="center"/>
          </w:tcPr>
          <w:p w14:paraId="78121A61" w14:textId="4974A57A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2.產品碳含量</w:t>
            </w:r>
            <w:r w:rsidRPr="0035227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計算方法</w:t>
            </w:r>
          </w:p>
          <w:p w14:paraId="480B4AA0" w14:textId="4EEC0F4B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(§7、Annex III)</w:t>
            </w:r>
          </w:p>
        </w:tc>
        <w:tc>
          <w:tcPr>
            <w:tcW w:w="2602" w:type="dxa"/>
          </w:tcPr>
          <w:p w14:paraId="743AB7D6" w14:textId="572C3062" w:rsidR="001B43A5" w:rsidRPr="00352275" w:rsidRDefault="001B43A5" w:rsidP="001B43A5">
            <w:pPr>
              <w:snapToGrid w:val="0"/>
              <w:spacing w:line="0" w:lineRule="atLeast"/>
              <w:ind w:left="384" w:hangingChars="160" w:hanging="38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2.1複雜產品判定原則</w:t>
            </w:r>
          </w:p>
        </w:tc>
        <w:tc>
          <w:tcPr>
            <w:tcW w:w="4485" w:type="dxa"/>
          </w:tcPr>
          <w:p w14:paraId="7D2C110D" w14:textId="200741B3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(1)依據附件3(Annex III)產品定義，僅使用原料生產過程不排碳者，歸類為簡單產品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simple product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)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，其餘皆為複雜產品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complex product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)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。</w:t>
            </w:r>
          </w:p>
          <w:p w14:paraId="0BAB732C" w14:textId="0E5F3382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(2)請問如由生命週期角度考量，各類產品所使用原料生命週期皆可能排碳，歐盟判定複雜產品原則為何？</w:t>
            </w:r>
          </w:p>
        </w:tc>
        <w:tc>
          <w:tcPr>
            <w:tcW w:w="4253" w:type="dxa"/>
          </w:tcPr>
          <w:p w14:paraId="4D5E9A6D" w14:textId="47DA752F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本項屬規則釐清</w:t>
            </w:r>
            <w:r w:rsidRPr="00352275">
              <w:rPr>
                <w:rFonts w:ascii="微軟正黑體" w:eastAsia="微軟正黑體" w:hAnsi="新細明體" w:cs="Times New Roman" w:hint="eastAsia"/>
                <w:bCs/>
                <w:kern w:val="0"/>
                <w:szCs w:val="24"/>
              </w:rPr>
              <w:t>，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無協商訴求</w:t>
            </w:r>
            <w:r w:rsidRPr="00352275">
              <w:rPr>
                <w:rFonts w:ascii="微軟正黑體" w:eastAsia="微軟正黑體" w:hAnsi="新細明體" w:cs="Times New Roman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693" w:type="dxa"/>
          </w:tcPr>
          <w:p w14:paraId="7A33B82B" w14:textId="77777777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請填提問業者歸屬出口哪項產品-請填稅則號列(4碼)</w:t>
            </w:r>
          </w:p>
          <w:p w14:paraId="2B9793B3" w14:textId="5B6E1E04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例如:7318鋼鐵制螺釘</w:t>
            </w:r>
          </w:p>
        </w:tc>
      </w:tr>
      <w:tr w:rsidR="001B43A5" w:rsidRPr="00352275" w14:paraId="1AD3208A" w14:textId="77777777" w:rsidTr="00352275">
        <w:tc>
          <w:tcPr>
            <w:tcW w:w="1793" w:type="dxa"/>
            <w:vMerge/>
            <w:vAlign w:val="center"/>
          </w:tcPr>
          <w:p w14:paraId="19C26645" w14:textId="7348C874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02" w:type="dxa"/>
          </w:tcPr>
          <w:p w14:paraId="51DA1731" w14:textId="5372A40B" w:rsidR="001B43A5" w:rsidRPr="00352275" w:rsidRDefault="001B43A5" w:rsidP="001B43A5">
            <w:pPr>
              <w:snapToGrid w:val="0"/>
              <w:spacing w:line="0" w:lineRule="atLeast"/>
              <w:ind w:left="384" w:hangingChars="160" w:hanging="384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2.</w:t>
            </w: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2中間產品碳含量計算範疇</w:t>
            </w:r>
          </w:p>
        </w:tc>
        <w:tc>
          <w:tcPr>
            <w:tcW w:w="4485" w:type="dxa"/>
          </w:tcPr>
          <w:p w14:paraId="772EE497" w14:textId="4F2A2A58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(1)依據附件3(Annex III)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第3點複雜產品之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產品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碳含量計算公式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，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除生產該產品直接+間接排放以外，尚需加上中間產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lastRenderedPageBreak/>
              <w:t>品(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input materials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)碳排放。</w:t>
            </w:r>
          </w:p>
          <w:p w14:paraId="36B8A07F" w14:textId="03E401AD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(2)請問歐盟後續是否會就各項複雜產品應申報中間產品項目進行公告，以及中間產品含量計算範疇是計算生產階段排放亦或生命週期排放？</w:t>
            </w:r>
          </w:p>
        </w:tc>
        <w:tc>
          <w:tcPr>
            <w:tcW w:w="4253" w:type="dxa"/>
            <w:shd w:val="clear" w:color="auto" w:fill="auto"/>
          </w:tcPr>
          <w:p w14:paraId="5A4FED4E" w14:textId="21DC57E8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lastRenderedPageBreak/>
              <w:t>爭取中間產品碳含量計算範疇僅含生產階段排放：</w:t>
            </w:r>
          </w:p>
          <w:p w14:paraId="139E3DCF" w14:textId="1507763E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(1)歐盟CBAM精神係為確保歐盟產品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lastRenderedPageBreak/>
              <w:t>與進口產品間競爭公平性，以避免碳洩漏風險。</w:t>
            </w:r>
          </w:p>
          <w:p w14:paraId="38B5E785" w14:textId="0A99BFFB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(2)目前歐盟排放交易(EU ETS)僅管制產品生產階段(製程)排放量，而非生命週期排放。以歐盟鋼鐵業為例，其實際支付碳定價僅外購電力間接排放與自廠生產階段直接排放量，而不包含購買鐵礦等原料間接排放。</w:t>
            </w:r>
          </w:p>
          <w:p w14:paraId="63F1FEFA" w14:textId="05BA09DD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(3)為符合CBAM公平競爭精神，以及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WTO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國民待遇規範，中間產品碳含量計算範疇應以生產階段排放為宜</w:t>
            </w:r>
            <w:r w:rsidRPr="00352275">
              <w:rPr>
                <w:rFonts w:ascii="微軟正黑體" w:eastAsia="微軟正黑體" w:hAnsi="新細明體" w:cs="Times New Roman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693" w:type="dxa"/>
          </w:tcPr>
          <w:p w14:paraId="55CFAAAA" w14:textId="5D503C52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1B43A5" w:rsidRPr="00352275" w14:paraId="57BB233F" w14:textId="7109F66B" w:rsidTr="00352275">
        <w:tc>
          <w:tcPr>
            <w:tcW w:w="1793" w:type="dxa"/>
            <w:vMerge/>
            <w:vAlign w:val="center"/>
          </w:tcPr>
          <w:p w14:paraId="6CA2AD46" w14:textId="77777777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02" w:type="dxa"/>
          </w:tcPr>
          <w:p w14:paraId="37DE4C25" w14:textId="7C015C55" w:rsidR="001B43A5" w:rsidRPr="00352275" w:rsidRDefault="001B43A5" w:rsidP="001B43A5">
            <w:pPr>
              <w:snapToGrid w:val="0"/>
              <w:spacing w:line="0" w:lineRule="atLeast"/>
              <w:ind w:left="384" w:hangingChars="160" w:hanging="384"/>
              <w:jc w:val="both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2.</w:t>
            </w: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3電力排放係數計算範疇</w:t>
            </w:r>
          </w:p>
        </w:tc>
        <w:tc>
          <w:tcPr>
            <w:tcW w:w="4485" w:type="dxa"/>
          </w:tcPr>
          <w:p w14:paraId="69A0C005" w14:textId="66A683CA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依據附件1針對進口歐盟電力所需量化溫室氣體種類僅包含CO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，然附件3對進口產品碳含量之電力間接排放則以C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O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當量進行量化，請問計算電力間接排放是否需要涵蓋CO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、CH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4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及N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O等3種氣體？</w:t>
            </w:r>
          </w:p>
          <w:p w14:paraId="661BE8B4" w14:textId="5B537494" w:rsidR="001B43A5" w:rsidRPr="00352275" w:rsidRDefault="001B43A5" w:rsidP="001B43A5">
            <w:pPr>
              <w:snapToGrid w:val="0"/>
              <w:spacing w:line="0" w:lineRule="atLeast"/>
              <w:ind w:leftChars="15" w:left="39" w:hanging="3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(我國公用售電業電力排碳係數計算範疇涵蓋CO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、CH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4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及N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vertAlign w:val="subscript"/>
              </w:rPr>
              <w:t>2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O等排放量)</w:t>
            </w:r>
          </w:p>
        </w:tc>
        <w:tc>
          <w:tcPr>
            <w:tcW w:w="4253" w:type="dxa"/>
          </w:tcPr>
          <w:p w14:paraId="4826064A" w14:textId="5B5B275D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本項屬規則釐清</w:t>
            </w:r>
            <w:r w:rsidRPr="00352275">
              <w:rPr>
                <w:rFonts w:ascii="微軟正黑體" w:eastAsia="微軟正黑體" w:hAnsi="新細明體" w:cs="Times New Roman" w:hint="eastAsia"/>
                <w:bCs/>
                <w:kern w:val="0"/>
                <w:szCs w:val="24"/>
              </w:rPr>
              <w:t>，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無協商訴求</w:t>
            </w:r>
            <w:r w:rsidRPr="00352275">
              <w:rPr>
                <w:rFonts w:ascii="微軟正黑體" w:eastAsia="微軟正黑體" w:hAnsi="新細明體" w:cs="Times New Roman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693" w:type="dxa"/>
          </w:tcPr>
          <w:p w14:paraId="263F5026" w14:textId="59A441A7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</w:p>
        </w:tc>
      </w:tr>
      <w:tr w:rsidR="001B43A5" w:rsidRPr="00352275" w14:paraId="77FA2234" w14:textId="77777777" w:rsidTr="00352275">
        <w:tc>
          <w:tcPr>
            <w:tcW w:w="1793" w:type="dxa"/>
            <w:vMerge/>
            <w:vAlign w:val="center"/>
          </w:tcPr>
          <w:p w14:paraId="2A1D519A" w14:textId="77777777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02" w:type="dxa"/>
          </w:tcPr>
          <w:p w14:paraId="41D0414F" w14:textId="2A3CF62F" w:rsidR="001B43A5" w:rsidRPr="00352275" w:rsidRDefault="001B43A5" w:rsidP="001B43A5">
            <w:pPr>
              <w:snapToGrid w:val="0"/>
              <w:spacing w:line="0" w:lineRule="atLeast"/>
              <w:ind w:left="384" w:hangingChars="160" w:hanging="384"/>
              <w:jc w:val="both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2.4產品碳含量計算方法與ISO 14064-1相容性</w:t>
            </w:r>
          </w:p>
        </w:tc>
        <w:tc>
          <w:tcPr>
            <w:tcW w:w="4485" w:type="dxa"/>
            <w:shd w:val="clear" w:color="auto" w:fill="auto"/>
          </w:tcPr>
          <w:p w14:paraId="344D4FB1" w14:textId="5A76C37D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(1)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CBAM對有關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產品碳含量計算規定尚未完整，包含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begin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instrText xml:space="preserve"> 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eq \o\ac(○,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position w:val="3"/>
                <w:szCs w:val="24"/>
              </w:rPr>
              <w:instrText>1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)</w:instrTex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end"/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直接排放量僅定義「生產者直接控制的產品製造過程中的排放」，</w:t>
            </w:r>
            <w:r w:rsidRPr="00352275">
              <w:rPr>
                <w:rFonts w:ascii="微軟正黑體" w:eastAsia="微軟正黑體" w:hAnsi="微軟正黑體" w:cs="Microsoft JhengHei UI" w:hint="eastAsia"/>
                <w:bCs/>
                <w:kern w:val="0"/>
                <w:szCs w:val="24"/>
              </w:rPr>
              <w:t>是否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包含固定式燃燒、移動式燃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lastRenderedPageBreak/>
              <w:t>燒、製程排放、逸散性排放及土地利用等仍待確認；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begin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instrText xml:space="preserve"> 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eq \o\ac(○,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position w:val="3"/>
                <w:szCs w:val="24"/>
              </w:rPr>
              <w:instrText>2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)</w:instrTex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end"/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間接排放量僅定義「電力、加熱、冷卻」，是否代表僅計算能源間接排放？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begin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instrText xml:space="preserve"> 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eq \o\ac(○,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position w:val="3"/>
                <w:szCs w:val="24"/>
              </w:rPr>
              <w:instrText>3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)</w:instrTex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end"/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量化排放量選用之排放係數來源(或資料庫)有無限制；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begin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instrText xml:space="preserve"> 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eq \o\ac(○,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position w:val="3"/>
                <w:szCs w:val="24"/>
              </w:rPr>
              <w:instrText>4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)</w:instrTex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end"/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未說明計算中所使用的暖化潛勢值(GWP)版本規定；</w: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begin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instrText xml:space="preserve"> 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eq \o\ac(○,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position w:val="3"/>
                <w:szCs w:val="24"/>
              </w:rPr>
              <w:instrText>5</w:instrTex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instrText>)</w:instrText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fldChar w:fldCharType="end"/>
            </w:r>
            <w:r w:rsidRPr="00352275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未說明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直接排放與能源間接排放之量化可能涉及排放源/排放量分配原則。</w:t>
            </w:r>
          </w:p>
          <w:p w14:paraId="6D664EA9" w14:textId="14F71BD6" w:rsidR="001B43A5" w:rsidRPr="00352275" w:rsidRDefault="001B43A5" w:rsidP="001B43A5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(2)請問有關再生能源電力使用之計算與條件，包含</w:t>
            </w:r>
            <w:r w:rsidRPr="00352275">
              <w:rPr>
                <w:rFonts w:ascii="微軟正黑體" w:eastAsia="微軟正黑體" w:hAnsi="微軟正黑體" w:cs="Microsoft JhengHei UI" w:hint="eastAsia"/>
                <w:bCs/>
                <w:kern w:val="0"/>
                <w:szCs w:val="24"/>
              </w:rPr>
              <w:t>能否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直接扣除，或須取得官方發行之憑證(如T-REC)，或可僅購買憑證未實際使用等；以及生產過程如使用低碳氫作為燃料時，是否可直接扣除(或須提供低碳氫來源證明)？</w:t>
            </w:r>
          </w:p>
        </w:tc>
        <w:tc>
          <w:tcPr>
            <w:tcW w:w="4253" w:type="dxa"/>
            <w:shd w:val="clear" w:color="auto" w:fill="auto"/>
          </w:tcPr>
          <w:p w14:paraId="66F38EBF" w14:textId="77777777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lastRenderedPageBreak/>
              <w:t>爭取產品碳含量計算方法與I</w:t>
            </w:r>
            <w:r w:rsidRPr="00352275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SO</w:t>
            </w: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規範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相容</w:t>
            </w:r>
            <w:r w:rsidRPr="00352275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：</w:t>
            </w:r>
          </w:p>
          <w:p w14:paraId="08E496DE" w14:textId="28B82375" w:rsidR="001B43A5" w:rsidRPr="00352275" w:rsidRDefault="001B43A5" w:rsidP="001B43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ISO是全球性的非政府組織，制定國際通用的標準，ISO 14064-1針對碳產品</w:t>
            </w:r>
            <w:r w:rsidRPr="00352275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lastRenderedPageBreak/>
              <w:t>含量計算範圍，均已有詳細規定，建議CBAM產品碳含量計算方法能與ISO 14064-1相容，且不逾越ISO 14064-1之量化原則。</w:t>
            </w:r>
          </w:p>
        </w:tc>
        <w:tc>
          <w:tcPr>
            <w:tcW w:w="2693" w:type="dxa"/>
          </w:tcPr>
          <w:p w14:paraId="447C84A9" w14:textId="094546E4" w:rsidR="001B43A5" w:rsidRPr="00352275" w:rsidRDefault="001B43A5" w:rsidP="001B43A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14:paraId="0DD8D35D" w14:textId="578AB9FF" w:rsidR="002C795A" w:rsidRPr="00352275" w:rsidRDefault="002C795A" w:rsidP="009338B4">
      <w:pPr>
        <w:snapToGrid w:val="0"/>
        <w:spacing w:line="460" w:lineRule="exact"/>
        <w:rPr>
          <w:rFonts w:ascii="微軟正黑體" w:eastAsia="微軟正黑體" w:hAnsi="Times New Roman" w:cs="Microsoft JhengHei UI"/>
          <w:kern w:val="0"/>
          <w:szCs w:val="24"/>
        </w:rPr>
      </w:pPr>
    </w:p>
    <w:p w14:paraId="5E1117E1" w14:textId="77777777" w:rsidR="00352275" w:rsidRDefault="00352275">
      <w:pPr>
        <w:widowControl/>
        <w:rPr>
          <w:rFonts w:ascii="微軟正黑體" w:eastAsia="微軟正黑體" w:hAnsi="Times New Roman" w:cs="Microsoft JhengHei UI"/>
          <w:kern w:val="0"/>
          <w:sz w:val="28"/>
          <w:szCs w:val="28"/>
        </w:rPr>
      </w:pPr>
    </w:p>
    <w:p w14:paraId="10F7E6A8" w14:textId="77777777" w:rsidR="00A775A9" w:rsidRDefault="00A775A9">
      <w:pPr>
        <w:widowControl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/>
          <w:b/>
          <w:sz w:val="32"/>
          <w:szCs w:val="32"/>
        </w:rPr>
        <w:br w:type="page"/>
      </w:r>
    </w:p>
    <w:p w14:paraId="50CDED2D" w14:textId="4F292DC6" w:rsidR="00352275" w:rsidRDefault="006F2884" w:rsidP="00352275">
      <w:pPr>
        <w:snapToGrid w:val="0"/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lastRenderedPageBreak/>
        <w:t>【惠賜建議，請回傳本表單】</w:t>
      </w:r>
      <w:r w:rsidR="00352275">
        <w:rPr>
          <w:rFonts w:ascii="微軟正黑體" w:eastAsia="微軟正黑體" w:hAnsi="微軟正黑體" w:cs="Times New Roman" w:hint="eastAsia"/>
          <w:b/>
          <w:sz w:val="32"/>
          <w:szCs w:val="32"/>
        </w:rPr>
        <w:t>歐盟</w:t>
      </w:r>
      <w:r w:rsidR="00352275" w:rsidRPr="009F6B7D">
        <w:rPr>
          <w:rFonts w:ascii="微軟正黑體" w:eastAsia="微軟正黑體" w:hAnsi="微軟正黑體" w:cs="Times New Roman" w:hint="eastAsia"/>
          <w:b/>
          <w:sz w:val="32"/>
          <w:szCs w:val="32"/>
        </w:rPr>
        <w:t>CBAM過渡期申報義務執行規章(草案)</w:t>
      </w:r>
      <w:r w:rsidR="00352275" w:rsidRPr="00A668CE">
        <w:rPr>
          <w:rFonts w:ascii="微軟正黑體" w:eastAsia="微軟正黑體" w:hAnsi="微軟正黑體" w:cs="Times New Roman" w:hint="eastAsia"/>
          <w:b/>
          <w:sz w:val="32"/>
          <w:szCs w:val="32"/>
        </w:rPr>
        <w:t>相關問題</w:t>
      </w:r>
      <w:r w:rsidR="00352275">
        <w:rPr>
          <w:rFonts w:ascii="微軟正黑體" w:eastAsia="微軟正黑體" w:hAnsi="微軟正黑體" w:cs="Times New Roman" w:hint="eastAsia"/>
          <w:b/>
          <w:sz w:val="32"/>
          <w:szCs w:val="32"/>
        </w:rPr>
        <w:t>/建議表</w:t>
      </w:r>
    </w:p>
    <w:p w14:paraId="0F51A78A" w14:textId="2BD094F6" w:rsidR="00D53DE0" w:rsidRDefault="00D53DE0">
      <w:pPr>
        <w:widowControl/>
        <w:rPr>
          <w:rFonts w:ascii="微軟正黑體" w:eastAsia="微軟正黑體" w:hAnsi="微軟正黑體" w:cs="Microsoft JhengHei UI"/>
          <w:kern w:val="0"/>
          <w:sz w:val="28"/>
          <w:szCs w:val="28"/>
        </w:rPr>
      </w:pP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◆</w:t>
      </w:r>
      <w:r w:rsidR="00CC05B3"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公司名稱</w:t>
      </w:r>
      <w:r w:rsidR="00CC05B3"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Microsoft JhengHei UI"/>
          <w:kern w:val="0"/>
          <w:sz w:val="28"/>
          <w:szCs w:val="28"/>
        </w:rPr>
        <w:t xml:space="preserve">                               </w:t>
      </w: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◆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>所屬產業公會：</w:t>
      </w:r>
    </w:p>
    <w:p w14:paraId="36CD5E6B" w14:textId="53C59A8D" w:rsidR="00D53DE0" w:rsidRDefault="00D53DE0">
      <w:pPr>
        <w:widowControl/>
        <w:rPr>
          <w:rFonts w:ascii="微軟正黑體" w:eastAsia="微軟正黑體" w:hAnsi="Times New Roman" w:cs="Microsoft JhengHei UI"/>
          <w:kern w:val="0"/>
          <w:sz w:val="28"/>
          <w:szCs w:val="28"/>
        </w:rPr>
      </w:pP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◆填表人姓名職稱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 xml:space="preserve">：                          </w:t>
      </w: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◆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 xml:space="preserve">連絡電話：                      </w:t>
      </w: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◆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>Ma</w:t>
      </w:r>
      <w:r>
        <w:rPr>
          <w:rFonts w:ascii="微軟正黑體" w:eastAsia="微軟正黑體" w:hAnsi="微軟正黑體" w:cs="Microsoft JhengHei UI"/>
          <w:kern w:val="0"/>
          <w:sz w:val="28"/>
          <w:szCs w:val="28"/>
        </w:rPr>
        <w:t>il</w:t>
      </w: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>：</w:t>
      </w:r>
    </w:p>
    <w:tbl>
      <w:tblPr>
        <w:tblStyle w:val="a8"/>
        <w:tblW w:w="15826" w:type="dxa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2602"/>
        <w:gridCol w:w="4485"/>
        <w:gridCol w:w="4253"/>
        <w:gridCol w:w="2693"/>
      </w:tblGrid>
      <w:tr w:rsidR="002C795A" w:rsidRPr="00A668CE" w14:paraId="5C222EE7" w14:textId="77777777" w:rsidTr="00CC05B3">
        <w:trPr>
          <w:tblHeader/>
        </w:trPr>
        <w:tc>
          <w:tcPr>
            <w:tcW w:w="1793" w:type="dxa"/>
            <w:shd w:val="clear" w:color="auto" w:fill="EEECE1" w:themeFill="background2"/>
          </w:tcPr>
          <w:p w14:paraId="42ADFB67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 w:val="28"/>
                <w:szCs w:val="28"/>
              </w:rPr>
              <w:t>條次</w:t>
            </w:r>
          </w:p>
        </w:tc>
        <w:tc>
          <w:tcPr>
            <w:tcW w:w="2602" w:type="dxa"/>
            <w:shd w:val="clear" w:color="auto" w:fill="EEECE1" w:themeFill="background2"/>
          </w:tcPr>
          <w:p w14:paraId="2792636E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 w:val="28"/>
                <w:szCs w:val="28"/>
              </w:rPr>
            </w:pPr>
            <w:r w:rsidRPr="00A668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 w:val="28"/>
                <w:szCs w:val="28"/>
              </w:rPr>
              <w:t>待釐清問題</w:t>
            </w:r>
          </w:p>
        </w:tc>
        <w:tc>
          <w:tcPr>
            <w:tcW w:w="4485" w:type="dxa"/>
            <w:shd w:val="clear" w:color="auto" w:fill="EEECE1" w:themeFill="background2"/>
          </w:tcPr>
          <w:p w14:paraId="35FD3F3D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 w:val="28"/>
                <w:szCs w:val="28"/>
              </w:rPr>
            </w:pPr>
            <w:r w:rsidRPr="00A668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 w:val="28"/>
                <w:szCs w:val="28"/>
              </w:rPr>
              <w:t>問題說明</w:t>
            </w:r>
          </w:p>
        </w:tc>
        <w:tc>
          <w:tcPr>
            <w:tcW w:w="4253" w:type="dxa"/>
            <w:shd w:val="clear" w:color="auto" w:fill="EEECE1" w:themeFill="background2"/>
          </w:tcPr>
          <w:p w14:paraId="4F6FDD8D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 w:val="28"/>
                <w:szCs w:val="28"/>
              </w:rPr>
            </w:pPr>
            <w:r w:rsidRPr="00A668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 w:val="28"/>
                <w:szCs w:val="28"/>
              </w:rPr>
              <w:t>協商訴求</w:t>
            </w:r>
          </w:p>
        </w:tc>
        <w:tc>
          <w:tcPr>
            <w:tcW w:w="2693" w:type="dxa"/>
            <w:shd w:val="clear" w:color="auto" w:fill="EEECE1" w:themeFill="background2"/>
          </w:tcPr>
          <w:p w14:paraId="119354A0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Microsoft JhengHei U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 w:val="28"/>
                <w:szCs w:val="28"/>
              </w:rPr>
              <w:t>產品類別(4碼)</w:t>
            </w:r>
          </w:p>
        </w:tc>
      </w:tr>
      <w:tr w:rsidR="002C795A" w:rsidRPr="00A668CE" w14:paraId="2190DA99" w14:textId="77777777" w:rsidTr="00CC05B3">
        <w:tc>
          <w:tcPr>
            <w:tcW w:w="1793" w:type="dxa"/>
            <w:vAlign w:val="center"/>
          </w:tcPr>
          <w:p w14:paraId="266E3746" w14:textId="77777777" w:rsidR="002C795A" w:rsidRPr="00A668CE" w:rsidRDefault="002C795A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02" w:type="dxa"/>
          </w:tcPr>
          <w:p w14:paraId="6D4B4CB9" w14:textId="77777777" w:rsidR="002C795A" w:rsidRPr="00A668CE" w:rsidRDefault="002C795A" w:rsidP="00565DB9">
            <w:pPr>
              <w:snapToGrid w:val="0"/>
              <w:spacing w:line="0" w:lineRule="atLeast"/>
              <w:ind w:left="448" w:hangingChars="160" w:hanging="448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7CCB3C4E" w14:textId="77777777" w:rsidR="002C795A" w:rsidRPr="00A668CE" w:rsidRDefault="002C795A" w:rsidP="00565DB9">
            <w:pPr>
              <w:snapToGrid w:val="0"/>
              <w:spacing w:line="0" w:lineRule="atLeast"/>
              <w:ind w:left="336" w:hangingChars="120" w:hanging="336"/>
              <w:jc w:val="both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BD57A25" w14:textId="77777777" w:rsidR="002C795A" w:rsidRPr="00A668CE" w:rsidRDefault="002C795A" w:rsidP="00565DB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BB9004" w14:textId="77777777" w:rsidR="002C795A" w:rsidRPr="00A668CE" w:rsidRDefault="002C795A" w:rsidP="00565DB9">
            <w:pPr>
              <w:snapToGrid w:val="0"/>
              <w:spacing w:line="0" w:lineRule="atLeast"/>
              <w:ind w:left="336" w:hangingChars="120" w:hanging="336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</w:tr>
      <w:tr w:rsidR="00352275" w:rsidRPr="00A668CE" w14:paraId="3C4EF44C" w14:textId="77777777" w:rsidTr="00CC05B3">
        <w:tc>
          <w:tcPr>
            <w:tcW w:w="1793" w:type="dxa"/>
            <w:vAlign w:val="center"/>
          </w:tcPr>
          <w:p w14:paraId="7CB5457E" w14:textId="42F9B6AB" w:rsidR="00352275" w:rsidRPr="00A668CE" w:rsidRDefault="00352275" w:rsidP="00565DB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02" w:type="dxa"/>
          </w:tcPr>
          <w:p w14:paraId="5137ED21" w14:textId="77777777" w:rsidR="00352275" w:rsidRPr="00A668CE" w:rsidRDefault="00352275" w:rsidP="00565DB9">
            <w:pPr>
              <w:snapToGrid w:val="0"/>
              <w:spacing w:line="0" w:lineRule="atLeast"/>
              <w:ind w:left="448" w:hangingChars="160" w:hanging="448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990FCA7" w14:textId="77777777" w:rsidR="00352275" w:rsidRPr="00A668CE" w:rsidRDefault="00352275" w:rsidP="00565DB9">
            <w:pPr>
              <w:snapToGrid w:val="0"/>
              <w:spacing w:line="0" w:lineRule="atLeast"/>
              <w:ind w:left="336" w:hangingChars="120" w:hanging="336"/>
              <w:jc w:val="both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39818F" w14:textId="77777777" w:rsidR="00352275" w:rsidRPr="00A668CE" w:rsidRDefault="00352275" w:rsidP="00565DB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2C4490" w14:textId="77777777" w:rsidR="00352275" w:rsidRPr="00A668CE" w:rsidRDefault="00352275" w:rsidP="00565DB9">
            <w:pPr>
              <w:snapToGrid w:val="0"/>
              <w:spacing w:line="0" w:lineRule="atLeast"/>
              <w:ind w:left="336" w:hangingChars="120" w:hanging="336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8"/>
                <w:szCs w:val="28"/>
              </w:rPr>
            </w:pPr>
          </w:p>
        </w:tc>
      </w:tr>
    </w:tbl>
    <w:p w14:paraId="6C1E0AA1" w14:textId="7C809171" w:rsidR="00EB5C07" w:rsidRPr="00A668CE" w:rsidRDefault="00352275" w:rsidP="009338B4">
      <w:pPr>
        <w:snapToGrid w:val="0"/>
        <w:spacing w:line="460" w:lineRule="exact"/>
        <w:rPr>
          <w:rFonts w:ascii="微軟正黑體" w:eastAsia="微軟正黑體" w:hAnsi="Times New Roman" w:cs="Microsoft JhengHei UI"/>
          <w:kern w:val="0"/>
          <w:sz w:val="28"/>
          <w:szCs w:val="28"/>
        </w:rPr>
      </w:pPr>
      <w:r>
        <w:rPr>
          <w:rFonts w:ascii="微軟正黑體" w:eastAsia="微軟正黑體" w:hAnsi="微軟正黑體" w:cs="Microsoft JhengHei UI" w:hint="eastAsia"/>
          <w:kern w:val="0"/>
          <w:sz w:val="28"/>
          <w:szCs w:val="28"/>
        </w:rPr>
        <w:t>※</w:t>
      </w: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請不</w:t>
      </w:r>
      <w:r w:rsidR="00CC05B3" w:rsidRPr="00CC05B3"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敷</w:t>
      </w:r>
      <w:r>
        <w:rPr>
          <w:rFonts w:ascii="微軟正黑體" w:eastAsia="微軟正黑體" w:hAnsi="Times New Roman" w:cs="Microsoft JhengHei UI" w:hint="eastAsia"/>
          <w:kern w:val="0"/>
          <w:sz w:val="28"/>
          <w:szCs w:val="28"/>
        </w:rPr>
        <w:t>填寫自行增列</w:t>
      </w:r>
    </w:p>
    <w:sectPr w:rsidR="00EB5C07" w:rsidRPr="00A668CE" w:rsidSect="00352275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804C" w14:textId="77777777" w:rsidR="00A67652" w:rsidRDefault="00A67652" w:rsidP="00C43002">
      <w:r>
        <w:separator/>
      </w:r>
    </w:p>
  </w:endnote>
  <w:endnote w:type="continuationSeparator" w:id="0">
    <w:p w14:paraId="0BA4C3E7" w14:textId="77777777" w:rsidR="00A67652" w:rsidRDefault="00A67652" w:rsidP="00C4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87834"/>
      <w:docPartObj>
        <w:docPartGallery w:val="Page Numbers (Bottom of Page)"/>
        <w:docPartUnique/>
      </w:docPartObj>
    </w:sdtPr>
    <w:sdtEndPr/>
    <w:sdtContent>
      <w:p w14:paraId="311F4904" w14:textId="6D833B9E" w:rsidR="00C00B4D" w:rsidRDefault="00C00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A5" w:rsidRPr="001B43A5">
          <w:rPr>
            <w:noProof/>
            <w:lang w:val="zh-TW"/>
          </w:rPr>
          <w:t>2</w:t>
        </w:r>
        <w:r>
          <w:fldChar w:fldCharType="end"/>
        </w:r>
      </w:p>
    </w:sdtContent>
  </w:sdt>
  <w:p w14:paraId="7232EDF6" w14:textId="77777777" w:rsidR="00C00B4D" w:rsidRDefault="00C00B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EDA2" w14:textId="77777777" w:rsidR="00A67652" w:rsidRDefault="00A67652" w:rsidP="00C43002">
      <w:r>
        <w:separator/>
      </w:r>
    </w:p>
  </w:footnote>
  <w:footnote w:type="continuationSeparator" w:id="0">
    <w:p w14:paraId="3C1BCC9A" w14:textId="77777777" w:rsidR="00A67652" w:rsidRDefault="00A67652" w:rsidP="00C4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574"/>
    <w:multiLevelType w:val="hybridMultilevel"/>
    <w:tmpl w:val="62D4B57A"/>
    <w:lvl w:ilvl="0" w:tplc="D53AD3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209F"/>
    <w:multiLevelType w:val="hybridMultilevel"/>
    <w:tmpl w:val="E44246BA"/>
    <w:lvl w:ilvl="0" w:tplc="BB26504C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B0B"/>
    <w:multiLevelType w:val="hybridMultilevel"/>
    <w:tmpl w:val="020E199A"/>
    <w:lvl w:ilvl="0" w:tplc="1CA2B7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0454B"/>
    <w:multiLevelType w:val="hybridMultilevel"/>
    <w:tmpl w:val="09403964"/>
    <w:lvl w:ilvl="0" w:tplc="0150B522">
      <w:start w:val="1"/>
      <w:numFmt w:val="decimal"/>
      <w:lvlText w:val="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75F70"/>
    <w:multiLevelType w:val="hybridMultilevel"/>
    <w:tmpl w:val="247E7240"/>
    <w:lvl w:ilvl="0" w:tplc="3648C506">
      <w:start w:val="1"/>
      <w:numFmt w:val="decimal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B59F6"/>
    <w:multiLevelType w:val="hybridMultilevel"/>
    <w:tmpl w:val="1CB80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0683B"/>
    <w:multiLevelType w:val="hybridMultilevel"/>
    <w:tmpl w:val="C12C54C0"/>
    <w:lvl w:ilvl="0" w:tplc="AA62105A">
      <w:start w:val="1"/>
      <w:numFmt w:val="decimal"/>
      <w:lvlText w:val="(%1)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7" w15:restartNumberingAfterBreak="0">
    <w:nsid w:val="25684EFC"/>
    <w:multiLevelType w:val="hybridMultilevel"/>
    <w:tmpl w:val="C302BE42"/>
    <w:lvl w:ilvl="0" w:tplc="72B86956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9E2145"/>
    <w:multiLevelType w:val="hybridMultilevel"/>
    <w:tmpl w:val="3D82F0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6B3036"/>
    <w:multiLevelType w:val="hybridMultilevel"/>
    <w:tmpl w:val="8BC2F4C2"/>
    <w:lvl w:ilvl="0" w:tplc="5E7E8090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C4D6A"/>
    <w:multiLevelType w:val="hybridMultilevel"/>
    <w:tmpl w:val="9A62095A"/>
    <w:lvl w:ilvl="0" w:tplc="34307D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4D3139"/>
    <w:multiLevelType w:val="hybridMultilevel"/>
    <w:tmpl w:val="092669E8"/>
    <w:lvl w:ilvl="0" w:tplc="6E9484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11F04"/>
    <w:multiLevelType w:val="hybridMultilevel"/>
    <w:tmpl w:val="5B6A48AA"/>
    <w:lvl w:ilvl="0" w:tplc="72DAB1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A179B"/>
    <w:multiLevelType w:val="hybridMultilevel"/>
    <w:tmpl w:val="CB7E23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CF5C87"/>
    <w:multiLevelType w:val="hybridMultilevel"/>
    <w:tmpl w:val="3D76624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8D0439"/>
    <w:multiLevelType w:val="hybridMultilevel"/>
    <w:tmpl w:val="73D2B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862D62"/>
    <w:multiLevelType w:val="hybridMultilevel"/>
    <w:tmpl w:val="7054CA34"/>
    <w:lvl w:ilvl="0" w:tplc="62387754">
      <w:start w:val="1"/>
      <w:numFmt w:val="decimal"/>
      <w:lvlText w:val="(%1)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1F224D"/>
    <w:multiLevelType w:val="hybridMultilevel"/>
    <w:tmpl w:val="D92CE99E"/>
    <w:lvl w:ilvl="0" w:tplc="00BEC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4B082A"/>
    <w:multiLevelType w:val="hybridMultilevel"/>
    <w:tmpl w:val="03FC5BF8"/>
    <w:lvl w:ilvl="0" w:tplc="C7EE856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E7435"/>
    <w:multiLevelType w:val="hybridMultilevel"/>
    <w:tmpl w:val="59B02476"/>
    <w:lvl w:ilvl="0" w:tplc="E23A86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946D48"/>
    <w:multiLevelType w:val="hybridMultilevel"/>
    <w:tmpl w:val="7C32F17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C345B2"/>
    <w:multiLevelType w:val="hybridMultilevel"/>
    <w:tmpl w:val="9A4E4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1"/>
  </w:num>
  <w:num w:numId="12">
    <w:abstractNumId w:val="20"/>
  </w:num>
  <w:num w:numId="13">
    <w:abstractNumId w:val="14"/>
  </w:num>
  <w:num w:numId="14">
    <w:abstractNumId w:val="13"/>
  </w:num>
  <w:num w:numId="15">
    <w:abstractNumId w:val="19"/>
  </w:num>
  <w:num w:numId="16">
    <w:abstractNumId w:val="12"/>
  </w:num>
  <w:num w:numId="17">
    <w:abstractNumId w:val="8"/>
  </w:num>
  <w:num w:numId="18">
    <w:abstractNumId w:val="16"/>
  </w:num>
  <w:num w:numId="19">
    <w:abstractNumId w:val="2"/>
  </w:num>
  <w:num w:numId="20">
    <w:abstractNumId w:val="1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3"/>
    <w:rsid w:val="00014FF2"/>
    <w:rsid w:val="000175DC"/>
    <w:rsid w:val="000234C5"/>
    <w:rsid w:val="0002539E"/>
    <w:rsid w:val="000320AE"/>
    <w:rsid w:val="00040350"/>
    <w:rsid w:val="00056190"/>
    <w:rsid w:val="000578E8"/>
    <w:rsid w:val="00070B72"/>
    <w:rsid w:val="00083568"/>
    <w:rsid w:val="000A6C80"/>
    <w:rsid w:val="000B012A"/>
    <w:rsid w:val="000B17EE"/>
    <w:rsid w:val="000B42D2"/>
    <w:rsid w:val="000B5FB8"/>
    <w:rsid w:val="000C04EA"/>
    <w:rsid w:val="000E63B6"/>
    <w:rsid w:val="000E7F4E"/>
    <w:rsid w:val="000F028B"/>
    <w:rsid w:val="000F331D"/>
    <w:rsid w:val="000F36E1"/>
    <w:rsid w:val="000F6666"/>
    <w:rsid w:val="0010044C"/>
    <w:rsid w:val="001020F8"/>
    <w:rsid w:val="00113578"/>
    <w:rsid w:val="00122A7F"/>
    <w:rsid w:val="00126848"/>
    <w:rsid w:val="00140253"/>
    <w:rsid w:val="00141F4A"/>
    <w:rsid w:val="0014317E"/>
    <w:rsid w:val="001449B9"/>
    <w:rsid w:val="0014564F"/>
    <w:rsid w:val="00150312"/>
    <w:rsid w:val="0017738F"/>
    <w:rsid w:val="001A6D13"/>
    <w:rsid w:val="001B05C6"/>
    <w:rsid w:val="001B43A5"/>
    <w:rsid w:val="001D7A79"/>
    <w:rsid w:val="001E5BD6"/>
    <w:rsid w:val="001F5578"/>
    <w:rsid w:val="002136B0"/>
    <w:rsid w:val="00222B47"/>
    <w:rsid w:val="0022429A"/>
    <w:rsid w:val="00233376"/>
    <w:rsid w:val="00234077"/>
    <w:rsid w:val="002417B3"/>
    <w:rsid w:val="002441C8"/>
    <w:rsid w:val="00247174"/>
    <w:rsid w:val="002560F2"/>
    <w:rsid w:val="00275FC4"/>
    <w:rsid w:val="0028205F"/>
    <w:rsid w:val="00283198"/>
    <w:rsid w:val="002838A4"/>
    <w:rsid w:val="00294FEF"/>
    <w:rsid w:val="002A0245"/>
    <w:rsid w:val="002A6002"/>
    <w:rsid w:val="002B48C6"/>
    <w:rsid w:val="002C4EB9"/>
    <w:rsid w:val="002C795A"/>
    <w:rsid w:val="002E1E95"/>
    <w:rsid w:val="002F2E67"/>
    <w:rsid w:val="002F4220"/>
    <w:rsid w:val="0032103A"/>
    <w:rsid w:val="00330C14"/>
    <w:rsid w:val="00332E81"/>
    <w:rsid w:val="00345940"/>
    <w:rsid w:val="00352275"/>
    <w:rsid w:val="00361ECB"/>
    <w:rsid w:val="00376089"/>
    <w:rsid w:val="00382BE9"/>
    <w:rsid w:val="00386CAC"/>
    <w:rsid w:val="003B0B3A"/>
    <w:rsid w:val="003B4E8D"/>
    <w:rsid w:val="003B5A25"/>
    <w:rsid w:val="003C358A"/>
    <w:rsid w:val="003D584C"/>
    <w:rsid w:val="003E00FA"/>
    <w:rsid w:val="003E0C4D"/>
    <w:rsid w:val="004049EF"/>
    <w:rsid w:val="00416BA4"/>
    <w:rsid w:val="00420EF3"/>
    <w:rsid w:val="00433CFE"/>
    <w:rsid w:val="00437F58"/>
    <w:rsid w:val="004408ED"/>
    <w:rsid w:val="004430D3"/>
    <w:rsid w:val="0045711E"/>
    <w:rsid w:val="00461800"/>
    <w:rsid w:val="00472735"/>
    <w:rsid w:val="0047360D"/>
    <w:rsid w:val="00477635"/>
    <w:rsid w:val="004B2044"/>
    <w:rsid w:val="004C3070"/>
    <w:rsid w:val="004D5650"/>
    <w:rsid w:val="004E6E9F"/>
    <w:rsid w:val="004F1C77"/>
    <w:rsid w:val="0053304F"/>
    <w:rsid w:val="005359C4"/>
    <w:rsid w:val="005602D6"/>
    <w:rsid w:val="0056178D"/>
    <w:rsid w:val="005650B7"/>
    <w:rsid w:val="00581109"/>
    <w:rsid w:val="00592F53"/>
    <w:rsid w:val="00594097"/>
    <w:rsid w:val="0059414F"/>
    <w:rsid w:val="005B2987"/>
    <w:rsid w:val="005B2EAA"/>
    <w:rsid w:val="005D6180"/>
    <w:rsid w:val="0061441C"/>
    <w:rsid w:val="00621B9E"/>
    <w:rsid w:val="00632875"/>
    <w:rsid w:val="00636740"/>
    <w:rsid w:val="006509FA"/>
    <w:rsid w:val="00670FB7"/>
    <w:rsid w:val="006741D4"/>
    <w:rsid w:val="0068019D"/>
    <w:rsid w:val="00683631"/>
    <w:rsid w:val="00691C6D"/>
    <w:rsid w:val="006973A2"/>
    <w:rsid w:val="006B74DE"/>
    <w:rsid w:val="006C3F70"/>
    <w:rsid w:val="006E752D"/>
    <w:rsid w:val="006F2884"/>
    <w:rsid w:val="006F634F"/>
    <w:rsid w:val="00700B93"/>
    <w:rsid w:val="007131FE"/>
    <w:rsid w:val="00723498"/>
    <w:rsid w:val="007235C6"/>
    <w:rsid w:val="00726634"/>
    <w:rsid w:val="00752B48"/>
    <w:rsid w:val="007546E3"/>
    <w:rsid w:val="00761D36"/>
    <w:rsid w:val="00767511"/>
    <w:rsid w:val="00775845"/>
    <w:rsid w:val="007825D5"/>
    <w:rsid w:val="00784698"/>
    <w:rsid w:val="007D23C8"/>
    <w:rsid w:val="007E0C72"/>
    <w:rsid w:val="00813F3A"/>
    <w:rsid w:val="00837C8C"/>
    <w:rsid w:val="00857636"/>
    <w:rsid w:val="00875526"/>
    <w:rsid w:val="00887E75"/>
    <w:rsid w:val="008926BC"/>
    <w:rsid w:val="008B61B0"/>
    <w:rsid w:val="008C5B7C"/>
    <w:rsid w:val="008D1CA2"/>
    <w:rsid w:val="009030A7"/>
    <w:rsid w:val="009168F5"/>
    <w:rsid w:val="00930BAF"/>
    <w:rsid w:val="009338B4"/>
    <w:rsid w:val="00953B12"/>
    <w:rsid w:val="00991CE3"/>
    <w:rsid w:val="009A2A11"/>
    <w:rsid w:val="009A46FA"/>
    <w:rsid w:val="009E2F20"/>
    <w:rsid w:val="009F406E"/>
    <w:rsid w:val="009F6B7D"/>
    <w:rsid w:val="009F7D54"/>
    <w:rsid w:val="00A014F9"/>
    <w:rsid w:val="00A160B5"/>
    <w:rsid w:val="00A17FA4"/>
    <w:rsid w:val="00A20297"/>
    <w:rsid w:val="00A22376"/>
    <w:rsid w:val="00A42596"/>
    <w:rsid w:val="00A63180"/>
    <w:rsid w:val="00A668CE"/>
    <w:rsid w:val="00A67652"/>
    <w:rsid w:val="00A70510"/>
    <w:rsid w:val="00A775A9"/>
    <w:rsid w:val="00A82B92"/>
    <w:rsid w:val="00A82D67"/>
    <w:rsid w:val="00A83E0F"/>
    <w:rsid w:val="00A9469F"/>
    <w:rsid w:val="00AA51F8"/>
    <w:rsid w:val="00AB7411"/>
    <w:rsid w:val="00AC2B82"/>
    <w:rsid w:val="00AD25CE"/>
    <w:rsid w:val="00AD7B5B"/>
    <w:rsid w:val="00B16183"/>
    <w:rsid w:val="00B16C46"/>
    <w:rsid w:val="00B22426"/>
    <w:rsid w:val="00B24A7D"/>
    <w:rsid w:val="00B46452"/>
    <w:rsid w:val="00B521C0"/>
    <w:rsid w:val="00B574E0"/>
    <w:rsid w:val="00B575F5"/>
    <w:rsid w:val="00B64676"/>
    <w:rsid w:val="00B76456"/>
    <w:rsid w:val="00B777A5"/>
    <w:rsid w:val="00B77FD8"/>
    <w:rsid w:val="00B8409E"/>
    <w:rsid w:val="00BB0C56"/>
    <w:rsid w:val="00BB292C"/>
    <w:rsid w:val="00BC0BEE"/>
    <w:rsid w:val="00BC101C"/>
    <w:rsid w:val="00BD149A"/>
    <w:rsid w:val="00BE7D52"/>
    <w:rsid w:val="00C00B4D"/>
    <w:rsid w:val="00C03066"/>
    <w:rsid w:val="00C2362C"/>
    <w:rsid w:val="00C37E66"/>
    <w:rsid w:val="00C43002"/>
    <w:rsid w:val="00C73895"/>
    <w:rsid w:val="00C74CAD"/>
    <w:rsid w:val="00C83BCF"/>
    <w:rsid w:val="00C902F3"/>
    <w:rsid w:val="00CC05B3"/>
    <w:rsid w:val="00CC7DE1"/>
    <w:rsid w:val="00CD252F"/>
    <w:rsid w:val="00CD6B3B"/>
    <w:rsid w:val="00CE4810"/>
    <w:rsid w:val="00CE765D"/>
    <w:rsid w:val="00CF19A4"/>
    <w:rsid w:val="00D001E8"/>
    <w:rsid w:val="00D00CA9"/>
    <w:rsid w:val="00D16D3A"/>
    <w:rsid w:val="00D17D2B"/>
    <w:rsid w:val="00D45671"/>
    <w:rsid w:val="00D50BAF"/>
    <w:rsid w:val="00D51215"/>
    <w:rsid w:val="00D53DE0"/>
    <w:rsid w:val="00D54805"/>
    <w:rsid w:val="00D77A16"/>
    <w:rsid w:val="00D86CB9"/>
    <w:rsid w:val="00D90AFF"/>
    <w:rsid w:val="00D972E1"/>
    <w:rsid w:val="00DD42BD"/>
    <w:rsid w:val="00E069E6"/>
    <w:rsid w:val="00E135CB"/>
    <w:rsid w:val="00E13A0E"/>
    <w:rsid w:val="00E1572A"/>
    <w:rsid w:val="00E208F3"/>
    <w:rsid w:val="00E32A26"/>
    <w:rsid w:val="00E3332F"/>
    <w:rsid w:val="00E543CE"/>
    <w:rsid w:val="00E8172B"/>
    <w:rsid w:val="00E908EA"/>
    <w:rsid w:val="00EB5C07"/>
    <w:rsid w:val="00EC0896"/>
    <w:rsid w:val="00EC4638"/>
    <w:rsid w:val="00EE3E72"/>
    <w:rsid w:val="00EE55A6"/>
    <w:rsid w:val="00EE5E27"/>
    <w:rsid w:val="00EE6E4B"/>
    <w:rsid w:val="00F00061"/>
    <w:rsid w:val="00F10E8C"/>
    <w:rsid w:val="00F16EEE"/>
    <w:rsid w:val="00F218D0"/>
    <w:rsid w:val="00F275EB"/>
    <w:rsid w:val="00F37DD8"/>
    <w:rsid w:val="00F44A80"/>
    <w:rsid w:val="00F60F9D"/>
    <w:rsid w:val="00F626BE"/>
    <w:rsid w:val="00F665BC"/>
    <w:rsid w:val="00F80A3A"/>
    <w:rsid w:val="00F86F6A"/>
    <w:rsid w:val="00FA7793"/>
    <w:rsid w:val="00FB053D"/>
    <w:rsid w:val="00FB3663"/>
    <w:rsid w:val="00FC38A7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532A6"/>
  <w15:docId w15:val="{7AEF2779-849C-4A3B-A0EA-313D261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0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002"/>
    <w:rPr>
      <w:sz w:val="20"/>
      <w:szCs w:val="20"/>
    </w:rPr>
  </w:style>
  <w:style w:type="table" w:styleId="a8">
    <w:name w:val="Table Grid"/>
    <w:basedOn w:val="a1"/>
    <w:uiPriority w:val="59"/>
    <w:rsid w:val="00E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3F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C05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C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309</Words>
  <Characters>1763</Characters>
  <Application>Microsoft Office Word</Application>
  <DocSecurity>0</DocSecurity>
  <Lines>14</Lines>
  <Paragraphs>4</Paragraphs>
  <ScaleCrop>false</ScaleCrop>
  <Company>Ministry of Economic Affairs,R.O.C.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胡淑貞</dc:creator>
  <cp:lastModifiedBy>ytlin7</cp:lastModifiedBy>
  <cp:revision>5</cp:revision>
  <cp:lastPrinted>2023-02-07T07:59:00Z</cp:lastPrinted>
  <dcterms:created xsi:type="dcterms:W3CDTF">2023-06-19T02:35:00Z</dcterms:created>
  <dcterms:modified xsi:type="dcterms:W3CDTF">2023-06-19T03:29:00Z</dcterms:modified>
</cp:coreProperties>
</file>